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CHG0030102 — [TITAN] High — encryption on kv-banking-hsm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kv-banking-hsm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Microsoft.KeyVault/vaults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20:07:22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20:07:22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2026-04-22T20:07:22+00:00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Key Vault 'kv-banking-hsm' soft-delete disabled — HSM-backed keys used for payment processing signing are at risk of irreversible accidental deletion. PCI DSS 3.5.1 requires key management controls.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Key Vault 'kv-banking-hsm' soft-delete disabled — HSM-backed keys used for payment processing signing are at risk of irreversible accidental deletion. PCI DSS 3.5.1 requires key management controls.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keyvault update --resource-group rg-banking-core --name kv-banking-hsm --enable-soft-delete true --retention-days 90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(kv-banking-hsm).</w:t>
        <w:br/>
        <w:t>Blast radius: change is idempotent; pre-change snapshot captured by TITAN; auto-rollback available if rescan fails.</w:t>
        <w:br/>
        <w:t>Finding detail: Key Vault 'kv-banking-hsm' soft-delete disabled — HSM-backed keys used for payment processing signing are at risk of irreversible accidental deletion. PCI DSS 3.5.1 requires key management controls.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kv-banking-hsm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kv-banking-hsm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keyvault update --resource-group rg-banking-core --name kv-banking-hsm --enable-soft-delete true --retention-days 90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PCI DSS 3.5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encryption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