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CHG0030107 — [TITAN] Medium — storage on gs-banking-statements-prd</w:t>
      </w:r>
    </w:p>
    <w:p>
      <w:r>
        <w:rPr>
          <w:color w:val="374151"/>
          <w:sz w:val="20"/>
        </w:rPr>
        <w:t>Severity: Medium · Priority: 3 - Moderate · Cloud: GCP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gs-banking-statements-prd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storage.googleapis.com/Bucket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adroit-terminus-234522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banking-prd-project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19:37:22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19:37:22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2026-04-22T19:37:22+00:00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GCS bucket 'gs-banking-statements-prd' holding customer monthly statements has uniform bucket access disabled and allUsers:storage.objectViewer binding. GLBA §501(b) safeguards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GCS bucket 'gs-banking-statements-prd' holding customer monthly statements has uniform bucket access disabled and allUsers:storage.objectViewer binding. GLBA §501(b) safeguards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gcloud storage buckets update gs://gs-banking-statements-prd --uniform-bucket-level-access &amp;&amp; gcloud storage buckets remove-iam-policy-binding gs://gs-banking-statements-prd --member=allUsers --role=roles/storage.objectViewer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(gs-banking-statements-prd).</w:t>
        <w:br/>
        <w:t>Blast radius: change is idempotent; pre-change snapshot captured by TITAN; auto-rollback available if rescan fails.</w:t>
        <w:br/>
        <w:t>Finding detail: GCS bucket 'gs-banking-statements-prd' holding customer monthly statements has uniform bucket access disabled and allUsers:storage.objectViewer binding. GLBA §501(b) safeguards violation.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gs-banking-statements-prd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gs-banking-statements-prd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storage buckets update gs://gs-banking-statements-prd --uniform-bucket-level-access &amp;&amp; gcloud storage buckets remove-iam-policy-binding gs://gs-banking-statements-prd --member=allUsers --role=roles/storage.objectViewer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medium storage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