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CHG0030112 — [TITAN] High — database on dbw-banking-risk-models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dbw-banking-risk-models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database_operations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Microsoft.Databricks/workspaces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19:07:22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19:07:22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2026-04-22T19:07:22+00:00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Databricks workspace running risk-model notebooks has token-based auth with 90-day tokens and no IP allowlist. Risk-model IP theft and insider-threat exposure per FFIEC and OCC expectations.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Databricks workspace running risk-model notebooks has token-based auth with 90-day tokens and no IP allowlist. Risk-model IP theft and insider-threat exposure per FFIEC and OCC expectations.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databricks workspace conf set enableIpAccessLists true &amp;&amp; databricks ip-access-lists create --json-file banking-allowlist.json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(dbw-banking-risk-models).</w:t>
        <w:br/>
        <w:t>Blast radius: change is idempotent; pre-change snapshot captured by TITAN; auto-rollback available if rescan fails.</w:t>
        <w:br/>
        <w:t>Finding detail: Databricks workspace running risk-model notebooks has token-based auth with 90-day tokens and no IP allowlist. Risk-model IP theft and insider-threat exposure per FFIEC and OCC expectations.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dbw-banking-risk-models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dbw-banking-risk-models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databricks workspace conf set enableIpAccessLists true &amp;&amp; databricks ip-access-lists create --json-file banking-allowlist.json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database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