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CHG0030114 — [TITAN] Critical — access_control on adf-banking-reg-reports</w:t>
      </w:r>
    </w:p>
    <w:p>
      <w:r>
        <w:rPr>
          <w:color w:val="374151"/>
          <w:sz w:val="20"/>
        </w:rPr>
        <w:t>Severity: Critical · Priority: 1 - Critical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adf-banking-reg-reports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Microsoft.DataFactory/factories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18:55:22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18:55:22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2026-04-22T18:55:22+00:00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Azure Data Factory for regulatory reporting has pipeline with hardcoded service-principal secret in linked-service JSON. Credential rotation is blocked; SOX §404 failure and secret-sprawl exposure.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Azure Data Factory for regulatory reporting has pipeline with hardcoded service-principal secret in linked-service JSON. Credential rotation is blocked; SOX §404 failure and secret-sprawl exposure.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datafactory linked-service update --resource-group rg-banking-reporting --factory-name adf-banking-reg-reports --name ls-sql-core --properties @linked-service-keyvault-ref.json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(adf-banking-reg-reports).</w:t>
        <w:br/>
        <w:t>Blast radius: change is idempotent; pre-change snapshot captured by TITAN; auto-rollback available if rescan fails.</w:t>
        <w:br/>
        <w:t>Finding detail: Azure Data Factory for regulatory reporting has pipeline with hardcoded service-principal secret in linked-service JSON. Credential rotation is blocked; SOX §404 failure and secret-sprawl exposure.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adf-banking-reg-reports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adf-banking-reg-reports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datafactory linked-service update --resource-group rg-banking-reporting --factory-name adf-banking-reg-reports --name ls-sql-core --properties @linked-service-keyvault-ref.json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critical access_control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