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INC0010101 — [TITAN] Critical — aml on stg-banking-aml-logs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stg-banking-aml-logs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banking_compliance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Microsoft.Storage/storageAccounts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20:13:22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20:27:22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2026-04-22T20:13:22+00:00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AML transaction log storage account publicly accessible — container 'aml-alerts' returns HTTP 200 anonymously. BSA/AML §1020.320 violation: customer identification and suspicious activity data must be protected.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AML transaction log storage account publicly accessible — container 'aml-alerts' returns HTTP 200 anonymously. BSA/AML §1020.320 violation: customer identification and suspicious activity data must be protected.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storage account update --resource-group rg-banking-aml --name stgbankingamlogs --default-action Deny --allow-blob-public-access false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(stg-banking-aml-logs).</w:t>
        <w:br/>
        <w:t>Blast radius: change is idempotent; pre-change snapshot captured by TITAN; auto-rollback available if rescan fails.</w:t>
        <w:br/>
        <w:t>Finding detail: AML transaction log storage account publicly accessible — container 'aml-alerts' returns HTTP 200 anonymously. BSA/AML §1020.320 violation: customer identification and suspicious activity data must be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stg-banking-aml-logs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stg-banking-aml-logs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storage account update --resource-group rg-banking-aml --name stgbankingamlogs --default-action Deny --allow-blob-public-access false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critical aml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