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CHG0030005 — [TITAN] High — security on dbw-titan-analytics</w:t>
      </w:r>
    </w:p>
    <w:p>
      <w:r>
        <w:rPr>
          <w:color w:val="374151"/>
          <w:sz w:val="20"/>
        </w:rPr>
        <w:t>Severity: High · Priority: 2 - High · Cloud: Azure · State: New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dbw-titan-analytics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data_platform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Microsoft.Databricks/workspaces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4f29d094-1079-44c9-acb0-4d73a7a2dd34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rg-titan-demo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2026-04-21 14:36:43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2026-04-21 14:36:43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titan-live-demo-20260421T213642Z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2026-04-21T21:36:43.416405+00:00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Databricks workspace 'dbw-titan-analytics' has public network access enabled and no VNet injection — cluster traffic leaves the Azure backbone.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Databricks workspace 'dbw-titan-analytics' has public network access enabled and no VNet injection — cluster traffic leaves the Azure backbone.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Re-deploy workspace with enableNoPublicIp=true + customVirtualNetworkId set to rg-titan-demo/vnet-titan-data/snet-databricks-private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MEDIUM-HIGH risk — misconfiguration with realistic exploit path.</w:t>
        <w:br/>
        <w:t>Business impact if unremediated: Increases attack surface; auditor finding likely.</w:t>
        <w:br/>
        <w:t>Scope: single resource (dbw-titan-analytics).</w:t>
        <w:br/>
        <w:t>Blast radius: change is idempotent; pre-change snapshot captured by TITAN; auto-rollback available if rescan fails.</w:t>
        <w:br/>
        <w:t>Finding detail: Databricks workspace 'dbw-titan-analytics' has public network access enabled and no VNet injection — cluster traffic leaves the Azure backbone.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dbw-titan-analytics before change (baseline: titan-live-demo-20260421T213642Z).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dbw-titan-analytics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Re-deploy workspace with enableNoPublicIp=true + customVirtualNetworkId set to rg-titan-demo/vnet-titan-data/snet-databricks-private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1.x IAM, NIST AC-2, SOC 2 CC6.1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(empty)</w:t>
      </w:r>
    </w:p>
    <w:p>
      <w:r>
        <w:rPr>
          <w:color w:val="6B7280"/>
          <w:sz w:val="16"/>
        </w:rPr>
        <w:t>TITAN AI LLC · CONDUIT Agent · Patent Pending USPTO 19/645,524 · Generated 2026-04-22 00:32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