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CHG0030101 — [TITAN] Critical — dns on r53-customer-portal</w:t>
      </w:r>
    </w:p>
    <w:p>
      <w:r>
        <w:rPr>
          <w:color w:val="374151"/>
          <w:sz w:val="20"/>
        </w:rPr>
        <w:t>Severity: Critical · Priority: 1 - Critical · Cloud: AWS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r53-customer-portal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AWS::Route53::HostedZone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20:13:25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20:13:25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2026-04-22T20:13:25+00:00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Route 53 hosted zone r53-customer-portal lacks DNSSEC — telco customer portal DNS susceptible to cache-poisoning. FCC CPNI rules require reasonable security for customer-facing systems.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Route 53 hosted zone r53-customer-portal lacks DNSSEC — telco customer portal DNS susceptible to cache-poisoning. FCC CPNI rules require reasonable security for customer-facing systems.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route53 enable-hosted-zone-dnssec --hosted-zone-id Z012345ABC &amp;&amp; aws route53 create-key-signing-key ...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(r53-customer-portal).</w:t>
        <w:br/>
        <w:t>Blast radius: change is idempotent; pre-change snapshot captured by TITAN; auto-rollback available if rescan fails.</w:t>
        <w:br/>
        <w:t>Finding detail: Route 53 hosted zone r53-customer-portal lacks DNSSEC — telco customer portal DNS susceptible to cache-poisoning. FCC CPNI rules require reasonable security for customer-facing systems.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r53-customer-portal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r53-customer-portal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route53 enable-hosted-zone-dnssec --hosted-zone-id Z012345ABC &amp;&amp; aws route53 create-key-signing-key ...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critical dns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