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CHG0030106 — [TITAN] Medium — access_control on gs-telco-cdr-export</w:t>
      </w:r>
    </w:p>
    <w:p>
      <w:r>
        <w:rPr>
          <w:color w:val="374151"/>
          <w:sz w:val="20"/>
        </w:rPr>
        <w:t>Severity: Medium · Priority: 3 - Moderate · Cloud: GCP · State: Assigned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gs-telco-cdr-export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identity_and_access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storage.googleapis.com/Bucket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adroit-terminus-234522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telco-prd-project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2026-04-22 19:43:25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2026-04-22 19:43:25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No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titan-telecom-demo-20260422T201925Z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2026-04-22T19:43:25+00:00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CDR (Call Detail Record) export bucket has no object-retention lock — records can be altered or deleted pre-retention period. Law-enforcement CALEA records must be tamper-evident.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Medium: CDR (Call Detail Record) export bucket has no object-retention lock — records can be altered or deleted pre-retention period. Law-enforcement CALEA records must be tamper-evident.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gcloud storage buckets update gs://gs-telco-cdr-export --default-retention-period=63072000 --retention-policy-locked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MEDIUM risk — weaker control, should be hardened.</w:t>
        <w:br/>
        <w:t>Business impact if unremediated: Control weakness that compounds with other gaps.</w:t>
        <w:br/>
        <w:t>Scope: single resource (gs-telco-cdr-export).</w:t>
        <w:br/>
        <w:t>Blast radius: change is idempotent; pre-change snapshot captured by TITAN; auto-rollback available if rescan fails.</w:t>
        <w:br/>
        <w:t>Finding detail: CDR (Call Detail Record) export bucket has no object-retention lock — records can be altered or deleted pre-retention period. Law-enforcement CALEA records must be tamper-evident.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gs-telco-cdr-export before change (baseline: titan-telecom-demo-20260422T201925Z).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gs-telco-cdr-export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gcloud storage buckets update gs://gs-telco-cdr-export --default-retention-period=63072000 --retention-policy-locked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HIPAA §164.312(e)(1), PCI DSS 3.4, SOC 2 CC6.1, CIS 1.x IAM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TITAN CONDUIT opened this medium access_control change request and assigned it to the regulatory_affairs group for review. STATE: ASSIGNED — awaiting human action. Per TITAN AI policy (and Kazmi rule, 2026-04-22), configuration changes are NEVER auto-applied and change tickets are NEVER auto-closed by TITAN. The assigned group reviews the recommended fix, schedules a CAB-approved change window, applies the fix manually, validates via SCOUT rescan, and closes this ticket themselves. TITAN documents and routes — the human owns the change from here.</w:t>
      </w:r>
    </w:p>
    <w:p>
      <w:r>
        <w:rPr>
          <w:color w:val="6B7280"/>
          <w:sz w:val="16"/>
        </w:rPr>
        <w:t>TITAN AI LLC · CONDUIT Agent · Patent Pending USPTO 19/645,524 · Generated 2026-04-22 20:19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