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CHG0030109 — [TITAN] High — encryption on kv-telco-pki</w:t>
      </w:r>
    </w:p>
    <w:p>
      <w:r>
        <w:rPr>
          <w:color w:val="374151"/>
          <w:sz w:val="20"/>
        </w:rPr>
        <w:t>Severity: High · Priority: 2 - High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kv-telco-pki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Microsoft.KeyVault/vaults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19:25:25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19:25:25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2026-04-22T19:25:25+00:00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Telecom PKI Key Vault (issues eSIM certificates) does not require RBAC authorization — legacy vault-access-policy model used. GSMA eSIM security baseline requires role-scoped access.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Telecom PKI Key Vault (issues eSIM certificates) does not require RBAC authorization — legacy vault-access-policy model used. GSMA eSIM security baseline requires role-scoped access.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keyvault update --resource-group rg-telco-pki --name kv-telco-pki --enable-rbac-authorization true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(kv-telco-pki).</w:t>
        <w:br/>
        <w:t>Blast radius: change is idempotent; pre-change snapshot captured by TITAN; auto-rollback available if rescan fails.</w:t>
        <w:br/>
        <w:t>Finding detail: Telecom PKI Key Vault (issues eSIM certificates) does not require RBAC authorization — legacy vault-access-policy model used. GSMA eSIM security baseline requires role-scoped access.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kv-telco-pki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kv-telco-pki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keyvault update --resource-group rg-telco-pki --name kv-telco-pki --enable-rbac-authorization true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encryption change request and assigned it to the regulatory_affairs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