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INC0010112 — [TITAN] Critical — identity on aad-sp-telco-neta-analytics</w:t>
      </w:r>
    </w:p>
    <w:p>
      <w:r>
        <w:rPr>
          <w:color w:val="374151"/>
          <w:sz w:val="20"/>
        </w:rPr>
        <w:t>Severity: Critical · Priority: 1 - Critical · Cloud: Azure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aad-sp-telco-neta-analytics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Microsoft.AAD/servicePrincipal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rg-telco-prod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19:07:25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19:21:25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2026-04-22T19:07:25+00:00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Network-analytics service principal has Directory.ReadWrite.All on Graph — can read every employee credential and MFA status. Privileged-access review overdue by 180 days.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Network-analytics service principal has Directory.ReadWrite.All on Graph — can read every employee credential and MFA status. Privileged-access review overdue by 180 days.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az ad sp credential reset --id &lt;sp-obj-id&gt; --years 1 &amp;&amp; az ad app permission remove --id &lt;app-id&gt; --api 00000003-0000-0000-c000-000000000000 --api-permissions 19dbc75e-c2e2-444c-a770-ec69d8559fc7=Role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(aad-sp-telco-neta-analytics).</w:t>
        <w:br/>
        <w:t>Blast radius: change is idempotent; pre-change snapshot captured by TITAN; auto-rollback available if rescan fails.</w:t>
        <w:br/>
        <w:t>Finding detail: Network-analytics service principal has Directory.ReadWrite.All on Graph — can read every employee credential and MFA status. Privileged-access review overdue by 180 days.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aad-sp-telco-neta-analytics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aad-sp-telco-neta-analytics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az ad sp credential reset --id &lt;sp-obj-id&gt; --years 1 &amp;&amp; az ad app permission remove --id &lt;app-id&gt; --api 00000003-0000-0000-c000-000000000000 --api-permissions 19dbc75e-c2e2-444c-a770-ec69d8559fc7=Role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orchestrated end-to-end: SCOUT detected the critical identity incident, FORGE applied the consent-gated fix automatically (incident class), SCOUT rescan confirmed the finding cleared, and CONDUIT closed this ticket with a Successful close_code. Pre-change snapshot retained for 30 days for rollback.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